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149BB"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p w14:paraId="69463EEE"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Pr>
          <w:rFonts w:ascii="Arial" w:hAnsi="Arial" w:cs="Arial"/>
          <w:color w:val="000000"/>
          <w:sz w:val="22"/>
          <w:szCs w:val="22"/>
          <w:lang w:val="en-GB"/>
        </w:rPr>
        <w:t>analyze</w:t>
      </w:r>
      <w:proofErr w:type="spellEnd"/>
      <w:r>
        <w:rPr>
          <w:rFonts w:ascii="Arial" w:hAnsi="Arial" w:cs="Arial"/>
          <w:color w:val="000000"/>
          <w:sz w:val="22"/>
          <w:szCs w:val="22"/>
          <w:lang w:val="en-GB"/>
        </w:rPr>
        <w:t xml:space="preserve"> the data of the persons controlling the persons involved, ensuring the absence of any links with the Russian Federation, the Republic of Belarus, the territories of Crimea, Transnistria, the territories of Abkhazia and South Ossetia.  </w:t>
      </w:r>
    </w:p>
    <w:p w14:paraId="46E932E9"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We ask suppliers to ensure that they are aware of the entire supply chain and:</w:t>
      </w:r>
    </w:p>
    <w:p w14:paraId="7B52F78C"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(1) 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p w14:paraId="38EFAD12"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(2) 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p w14:paraId="5DCF6514" w14:textId="77777777" w:rsidR="00934A21" w:rsidRDefault="00934A21">
      <w:pPr>
        <w:pStyle w:val="prastasiniatinklio"/>
        <w:spacing w:before="120" w:after="0"/>
        <w:jc w:val="both"/>
        <w:rPr>
          <w:rFonts w:ascii="Arial" w:hAnsi="Arial" w:cs="Arial"/>
          <w:color w:val="000000"/>
          <w:sz w:val="22"/>
          <w:szCs w:val="22"/>
          <w:lang w:val="en-GB"/>
        </w:rPr>
      </w:pPr>
    </w:p>
    <w:p w14:paraId="78658C6D" w14:textId="77777777" w:rsidR="00934A21" w:rsidRDefault="008B4F10">
      <w:pPr>
        <w:pStyle w:val="prastasiniatinklio"/>
        <w:spacing w:before="120" w:after="0"/>
        <w:jc w:val="both"/>
      </w:pPr>
      <w:r>
        <w:rPr>
          <w:rStyle w:val="Numatytasispastraiposriftas"/>
          <w:rFonts w:ascii="Arial" w:hAnsi="Arial" w:cs="Arial"/>
          <w:color w:val="000000"/>
          <w:sz w:val="22"/>
          <w:szCs w:val="22"/>
          <w:lang w:val="en-GB"/>
        </w:rPr>
        <w:t xml:space="preserve">Please note that after assessing the actual situations and risks, when making purchases, we ask you not only to confirm the absence of links with the aggressors parties by submitting the supplier's declaration, but also </w:t>
      </w:r>
      <w:r>
        <w:rPr>
          <w:rStyle w:val="Numatytasispastraiposriftas"/>
          <w:rFonts w:ascii="Arial" w:hAnsi="Arial" w:cs="Arial"/>
          <w:b/>
          <w:bCs/>
          <w:color w:val="000000"/>
          <w:sz w:val="22"/>
          <w:szCs w:val="22"/>
          <w:lang w:val="en-GB"/>
        </w:rPr>
        <w:t>to indicate in the offer form (its annex) the countries and nationalities of the registration / permanent residence of the persons controlling the manufacturer</w:t>
      </w:r>
      <w:r>
        <w:rPr>
          <w:rStyle w:val="Numatytasispastraiposriftas"/>
          <w:rFonts w:ascii="Arial" w:hAnsi="Arial" w:cs="Arial"/>
          <w:color w:val="000000"/>
          <w:sz w:val="22"/>
          <w:szCs w:val="22"/>
          <w:lang w:val="en-GB"/>
        </w:rPr>
        <w:t>**, so please ensure that this information is known to you.</w:t>
      </w:r>
    </w:p>
    <w:p w14:paraId="6AC91B78" w14:textId="77777777" w:rsidR="00934A21" w:rsidRDefault="00934A21">
      <w:pPr>
        <w:pStyle w:val="prastasiniatinklio"/>
        <w:spacing w:before="120" w:after="0"/>
        <w:jc w:val="both"/>
        <w:rPr>
          <w:rFonts w:ascii="Arial" w:hAnsi="Arial" w:cs="Arial"/>
          <w:color w:val="000000"/>
          <w:sz w:val="22"/>
          <w:szCs w:val="22"/>
          <w:lang w:val="en-GB"/>
        </w:rPr>
      </w:pPr>
    </w:p>
    <w:p w14:paraId="402FBDC2"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p w14:paraId="028F9C5D"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5A6E49F1"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goods (including their ingredients, packaging) do not originate in the Russian Federation, the Republic of Belarus, the territories of Crimea, Transnistria, Abkhazia and South Ossetia;</w:t>
      </w:r>
    </w:p>
    <w:p w14:paraId="54177832"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services are provided not from the territories of the Russian Federation, the Republic of Belarus, the Crimea, Transnistria, Abkhazia and South Ossetia;</w:t>
      </w:r>
    </w:p>
    <w:p w14:paraId="236AF83F"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59C259CF"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Contracting Authority/Contracting Entity does not have information from the competent authorities that the above entities have interests that may pose a threat to national security.</w:t>
      </w:r>
    </w:p>
    <w:p w14:paraId="0FFC3AA3" w14:textId="77777777" w:rsidR="00934A21" w:rsidRDefault="00934A21">
      <w:pPr>
        <w:pStyle w:val="prastasiniatinklio"/>
        <w:spacing w:before="120" w:after="0"/>
        <w:jc w:val="both"/>
        <w:rPr>
          <w:rFonts w:ascii="Arial" w:hAnsi="Arial" w:cs="Arial"/>
          <w:color w:val="000000"/>
          <w:sz w:val="22"/>
          <w:szCs w:val="22"/>
          <w:lang w:val="en-GB"/>
        </w:rPr>
      </w:pPr>
    </w:p>
    <w:p w14:paraId="5A6229EC"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The controlling person is understood as defined  PPL in Article 2(15(1)) / Article 2(4(1)) of the PL: “Controlling person means the owner of an individual enterprise or a legal or natural person who controls another legal entity:</w:t>
      </w:r>
    </w:p>
    <w:p w14:paraId="02EF311C"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1) by holding, directly or indirectly, more than 50% of shares, interests, contributions and/or votes at the meeting of participants of that legal entity, or</w:t>
      </w:r>
    </w:p>
    <w:p w14:paraId="2D3BA1A4"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63B4D956"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C029109"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b) in the case of being a natural person – spouses, parents and their children (adopted children).”</w:t>
      </w:r>
    </w:p>
    <w:p w14:paraId="7982C31C" w14:textId="77777777" w:rsidR="00934A21" w:rsidRDefault="00934A21">
      <w:pPr>
        <w:pStyle w:val="prastasiniatinklio"/>
        <w:spacing w:before="120" w:after="0"/>
        <w:jc w:val="both"/>
        <w:rPr>
          <w:rFonts w:ascii="Arial" w:hAnsi="Arial" w:cs="Arial"/>
          <w:color w:val="000000"/>
          <w:sz w:val="22"/>
          <w:szCs w:val="22"/>
        </w:rPr>
      </w:pPr>
    </w:p>
    <w:p w14:paraId="2883F5E5" w14:textId="77777777" w:rsidR="00934A21" w:rsidRDefault="00934A21">
      <w:pPr>
        <w:pStyle w:val="prastasis"/>
      </w:pPr>
    </w:p>
    <w:sectPr w:rsidR="00934A21">
      <w:pgSz w:w="11906" w:h="16838"/>
      <w:pgMar w:top="1134" w:right="567"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79302" w14:textId="77777777" w:rsidR="00FB7209" w:rsidRDefault="00FB7209">
      <w:pPr>
        <w:spacing w:after="0" w:line="240" w:lineRule="auto"/>
      </w:pPr>
      <w:r>
        <w:separator/>
      </w:r>
    </w:p>
  </w:endnote>
  <w:endnote w:type="continuationSeparator" w:id="0">
    <w:p w14:paraId="0AB960A8" w14:textId="77777777" w:rsidR="00FB7209" w:rsidRDefault="00FB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23201" w14:textId="77777777" w:rsidR="00FB7209" w:rsidRDefault="00FB7209">
      <w:pPr>
        <w:spacing w:after="0" w:line="240" w:lineRule="auto"/>
      </w:pPr>
      <w:r>
        <w:rPr>
          <w:color w:val="000000"/>
        </w:rPr>
        <w:separator/>
      </w:r>
    </w:p>
  </w:footnote>
  <w:footnote w:type="continuationSeparator" w:id="0">
    <w:p w14:paraId="1E93C496" w14:textId="77777777" w:rsidR="00FB7209" w:rsidRDefault="00FB72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21"/>
    <w:rsid w:val="008B4F10"/>
    <w:rsid w:val="00934A21"/>
    <w:rsid w:val="00AF2F0A"/>
    <w:rsid w:val="00C65F59"/>
    <w:rsid w:val="00FB7209"/>
    <w:rsid w:val="40991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5E12"/>
  <w15:docId w15:val="{E07DE200-B4C3-421C-87C4-846F0C6E9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style>
  <w:style w:type="character" w:customStyle="1" w:styleId="Numatytasispastraiposriftas">
    <w:name w:val="Numatytasis pastraipos šriftas"/>
  </w:style>
  <w:style w:type="paragraph" w:customStyle="1" w:styleId="prastasiniatinklio">
    <w:name w:val="Įprastas (žiniatinklio)"/>
    <w:basedOn w:val="prastasis"/>
    <w:pPr>
      <w:spacing w:before="100" w:after="100" w:line="240" w:lineRule="auto"/>
    </w:pPr>
    <w:rPr>
      <w:rFonts w:ascii="Times New Roman" w:eastAsia="Times New Roman" w:hAnsi="Times New Roman"/>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4CA599-9256-426C-A389-4C83723B4813}">
  <ds:schemaRefs>
    <ds:schemaRef ds:uri="http://schemas.microsoft.com/sharepoint/v3/contenttype/forms"/>
  </ds:schemaRefs>
</ds:datastoreItem>
</file>

<file path=customXml/itemProps2.xml><?xml version="1.0" encoding="utf-8"?>
<ds:datastoreItem xmlns:ds="http://schemas.openxmlformats.org/officeDocument/2006/customXml" ds:itemID="{A3904108-BDB9-43CD-9304-D35086613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6C4F4-AB50-4BF3-9A96-8466FF8B730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dc:description/>
  <cp:lastModifiedBy>Ingrida Riabovienė</cp:lastModifiedBy>
  <cp:revision>3</cp:revision>
  <dcterms:created xsi:type="dcterms:W3CDTF">2025-01-22T07:55:00Z</dcterms:created>
  <dcterms:modified xsi:type="dcterms:W3CDTF">2025-01-22T07:55:00Z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2025-01-22T07:55:06Z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d5e10b9c-b2ac-4d99-91c7-ed76fca1fdbb</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